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宋体" w:hAnsi="宋体"/>
          <w:b/>
          <w:color w:val="auto"/>
          <w:kern w:val="0"/>
          <w:sz w:val="44"/>
          <w:szCs w:val="44"/>
        </w:rPr>
      </w:pPr>
      <w:bookmarkStart w:id="0" w:name="_GoBack"/>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托克逊县技工学校2024年单位预算公开</w:t>
      </w: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line="500" w:lineRule="exact"/>
        <w:jc w:val="center"/>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hint="eastAsia" w:ascii="宋体" w:hAnsi="宋体"/>
          <w:b/>
          <w:color w:val="auto"/>
          <w:kern w:val="0"/>
          <w:sz w:val="44"/>
          <w:szCs w:val="44"/>
        </w:rPr>
      </w:pP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一、关于托克逊县技工学校单位2024年收支预算情况的总体说明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二、关于托克逊县技工学校单位2024年收入预算情况说明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三、关于托克逊县技工学校单位2024年支出预算情况说明</w:t>
      </w:r>
    </w:p>
    <w:p>
      <w:pPr>
        <w:widowControl/>
        <w:spacing w:line="600" w:lineRule="exact"/>
        <w:ind w:firstLine="640" w:firstLineChars="200"/>
        <w:outlineLvl w:val="1"/>
        <w:rPr>
          <w:rFonts w:hint="eastAsia"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四、关于托克逊县技工学校单位2024年财政拨款收支预算情况的总体说明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五、关于托克逊县技工学校单位2024年一般公共预算当年拨款情况说明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六、关于托克逊县技工学校单位2024年一般公共预算基本支出情况说明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七、关于托克逊县技工学校单位2024年一般公共预算项目支出情况说明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八、关于托克逊县技工学校单位2024年政府性基金预算拨款情况说明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九、关于托克逊县技工学校单位2024年国有资本经营预算拨款情况说明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十、关于托克逊县技工学校单位2024年财政拨款“三公”经费预算情况说明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十一、关于托克逊县技工学校单位2024年上年结转结余预算情况说明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hint="eastAsia"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hint="eastAsia" w:ascii="宋体" w:hAnsi="宋体"/>
          <w:b/>
          <w:color w:val="auto"/>
          <w:kern w:val="0"/>
          <w:sz w:val="32"/>
          <w:szCs w:val="32"/>
        </w:rPr>
      </w:pP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hint="eastAsia"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贯彻落实党和国家的教育路线、方针、政策;研究制定学校发展规划和规章制度，确定办学定位，保障依法办学为实现新疆社会稳定和长治久安总目标以及社会经济发展需要，面向从事一产二产三产所有农村劳动力重点培训群体，实施国家通用语言文字、政策法规、职业技能和适用技术等培训课程、联合县域内各行业龙头企业，探索校企合作新模式，积极开展“以需定培”的模式，积极开展“以需定培”的职业技能培训。</w:t>
      </w: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托克逊县技工学校单位无下属预算单位，下设6个处室，分别是：综合办公室（财务科）、教务处、学生管理科、招生就业科、安全保卫科、后勤保障科</w:t>
      </w:r>
      <w:r>
        <w:rPr>
          <w:rFonts w:hint="eastAsia" w:ascii="仿宋_GB2312" w:hAnsi="宋体" w:eastAsia="仿宋_GB2312" w:cs="宋体"/>
          <w:color w:val="auto"/>
          <w:kern w:val="0"/>
          <w:sz w:val="32"/>
          <w:szCs w:val="32"/>
        </w:rPr>
        <w:t>。</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托克逊县技工学校单位编制数7，实有人数7人，其中：在职7人，增加0人；退休0人，增加0人；离休0人，增加0人。</w:t>
      </w:r>
    </w:p>
    <w:p>
      <w:pPr>
        <w:widowControl/>
        <w:spacing w:before="156" w:beforeLines="50"/>
        <w:jc w:val="center"/>
        <w:outlineLvl w:val="1"/>
        <w:rPr>
          <w:rFonts w:hint="eastAsia"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hint="eastAsia"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344.99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290.99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139.99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151.00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311.71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37.80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6.37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54.00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54.00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22.76</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22.76</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22.76</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11.87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367.75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367.75</w:t>
            </w:r>
          </w:p>
        </w:tc>
      </w:tr>
    </w:tbl>
    <w:p>
      <w:pPr>
        <w:widowControl/>
        <w:jc w:val="left"/>
        <w:outlineLvl w:val="1"/>
        <w:rPr>
          <w:rFonts w:hint="eastAsia"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00" w:type="dxa"/>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3889"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311.71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257.71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106.71</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151.00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54.00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职业教育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311.71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257.71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106.71</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151.00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54.00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技校教育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311.71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257.71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106.71</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151.00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54.00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37.80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15.04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15.04</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22.76</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15.04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15.04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15.04</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15.04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15.04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15.04</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就业补助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22.76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22.76</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职业培训补贴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22.76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22.76</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6.37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6.37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6.37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6.37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6.37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6.37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6.37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6.37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6.37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11.87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11.87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11.87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11.87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11.87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11.87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367.75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290.99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139.99</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151.00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54.00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22.76</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bl>
    <w:p>
      <w:pPr>
        <w:widowControl/>
        <w:jc w:val="left"/>
        <w:outlineLvl w:val="1"/>
        <w:rPr>
          <w:rFonts w:hint="eastAsia"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eastAsia="仿宋_GB2312"/>
                <w:color w:val="auto"/>
                <w:sz w:val="24"/>
              </w:rPr>
              <w:t>编制单位：托克逊县技工学校</w:t>
            </w:r>
          </w:p>
        </w:tc>
        <w:tc>
          <w:tcPr>
            <w:tcW w:w="130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311.71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101.91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209.80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职业教育</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311.71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101.91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209.80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技校教育</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311.71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101.91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209.80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37.80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15.04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22.76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15.04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15.04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15.04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15.04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就业补助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22.76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22.76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职业培训补贴</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22.76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22.76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6.37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6.37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6.37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6.37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6.37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6.37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11.87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11.87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11.87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367.75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135.19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232.56</w:t>
            </w:r>
          </w:p>
        </w:tc>
      </w:tr>
    </w:tbl>
    <w:p>
      <w:pPr>
        <w:widowControl/>
        <w:spacing w:before="120" w:beforeLines="50"/>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1808" w:type="dxa"/>
            <w:gridSpan w:val="3"/>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290.99</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290.99</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257.71</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257.71</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15.04</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15.04</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6.37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6.37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11.87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11.87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290.99</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290.99</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290.99</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1307"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257.71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101.91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155.80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职业教育</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257.71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101.91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155.80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技校教育</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257.71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101.91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155.80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15.04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15.04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15.04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15.04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15.04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15.04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290.99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135.19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155.80</w:t>
            </w: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133.37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133.37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39.18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39.18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18.98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18.98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22.81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22.81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18.46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18.46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15.04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15.04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6.37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6.37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0.66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0.66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11.87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11.87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1.82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1.82</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1.82</w:t>
            </w: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135.19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133.37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1.82</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272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205</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教育支出</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155.80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116.60</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39.20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205</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03</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职业教育</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155.80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116.60</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39.20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205</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技校教育</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2024年托克逊县学生助学金（县配套资金）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4.80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4.80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205</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技校教育</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吐市财文【2023】109号2024年学生资助补助经费中央直达资金技工免学费</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110.06</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110.06</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205</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技校教育</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吐市财文【2023】109号2024年学生资助补助经费中央直达资金技工助学金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34.40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34.40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205</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技校教育</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2024年新疆西藏等地区教育特殊补助资金吐市财文[2023]119号</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6.54</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6.54</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p>
        </w:tc>
        <w:tc>
          <w:tcPr>
            <w:tcW w:w="2170"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155.80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116.60</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39.20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备注：托克逊县技工学校2024年没有使用政府性基金预算拨款安排的支出，政府性基金预算支出情况表为空表。</w:t>
      </w: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备注：托克逊县技工学校2024年没有使用国有资本经营预算拨款安排的支出，国有资本经营预算支出情况表为空表。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1312"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备注：托克逊县技工学校2024年未安排三公经费预算，三公经费支出情况表为空表。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编制单位：托克逊县技工学校</w:t>
            </w:r>
          </w:p>
        </w:tc>
        <w:tc>
          <w:tcPr>
            <w:tcW w:w="2000" w:type="dxa"/>
            <w:gridSpan w:val="2"/>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atLeast"/>
        </w:trPr>
        <w:tc>
          <w:tcPr>
            <w:tcW w:w="128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13"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合计</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22.76</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22.76</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22.76</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2022年中央财政就业（职业培训）补助项目</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22.76</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22.76</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22.76</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bl>
    <w:p>
      <w:pPr>
        <w:widowControl/>
        <w:jc w:val="left"/>
        <w:outlineLvl w:val="1"/>
        <w:rPr>
          <w:rFonts w:hint="eastAsia"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hint="eastAsia"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hint="eastAsia" w:ascii="楷体_GB2312" w:hAnsi="楷体_GB2312" w:eastAsia="楷体_GB2312"/>
          <w:color w:val="auto"/>
          <w:kern w:val="0"/>
          <w:sz w:val="32"/>
          <w:szCs w:val="32"/>
        </w:rPr>
      </w:pP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关于托克逊县技工学校单位2024年收支预算情况的总体说明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按照全口径预算的原则，托克逊县技工学校单位2024年所有收入和支出均纳入单位预算管理。收支总预算367.75万元。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收入预算包括：一般公共预算、单位资金、财政拨款结转结余。</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支出预算包括：教育支出、社会保障和就业支出、卫生健康支出、住房保障支出。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二、关于托克逊县技工学校单位2024年收入预算情况说明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托克逊县技工学校单位收入预算367.75万元，其中：</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一般公共预算139.99万元，占38.07%，比上年预算减少6.31万元，下降4.31%，主要原因是本年机关事业单位职业年金缴费支出统一纳入财政代列资金，不单独安排此预算，因此一般公共预算较上年减少</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151.00万元，占41.06%，比上年预算增加151.00万元，增长100.00%，主要原因是2024年新增2024年学生资助补助经费中央直达资金技工助学金、2024年学生资助补助经费中央直达资金技工免学费、2024年新疆西藏等地区教育特殊补助资金，因此上级一般公共预算较上年增加</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单位资金54.00万元，占14.68%，比上年预算减少417.90万元，下降88.56%，主要原因是2024年上级单位下达培训补</w:t>
      </w:r>
      <w:r>
        <w:rPr>
          <w:rFonts w:hint="eastAsia" w:ascii="仿宋_GB2312" w:hAnsi="宋体" w:eastAsia="仿宋_GB2312" w:cs="宋体"/>
          <w:color w:val="auto"/>
          <w:kern w:val="0"/>
          <w:sz w:val="32"/>
          <w:szCs w:val="32"/>
          <w:lang w:val="en-US" w:eastAsia="zh-CN"/>
        </w:rPr>
        <w:t>助</w:t>
      </w:r>
      <w:r>
        <w:rPr>
          <w:rFonts w:hint="eastAsia" w:ascii="仿宋_GB2312" w:hAnsi="宋体" w:eastAsia="仿宋_GB2312" w:cs="宋体"/>
          <w:color w:val="auto"/>
          <w:kern w:val="0"/>
          <w:sz w:val="32"/>
          <w:szCs w:val="32"/>
        </w:rPr>
        <w:t>资金全部拨付零余额账户，导致单位资金较上年减少</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财政拨款结转22.76万元，占6.19%，比上年预算减少253.68万元，下降91.77%，主要原因是本单位</w:t>
      </w:r>
      <w:r>
        <w:rPr>
          <w:rFonts w:hint="eastAsia" w:ascii="仿宋_GB2312" w:hAnsi="宋体" w:eastAsia="仿宋_GB2312" w:cs="宋体"/>
          <w:color w:val="auto"/>
          <w:kern w:val="0"/>
          <w:sz w:val="32"/>
          <w:szCs w:val="32"/>
          <w:lang w:val="en-US" w:eastAsia="zh-CN"/>
        </w:rPr>
        <w:t>本年只</w:t>
      </w:r>
      <w:r>
        <w:rPr>
          <w:rFonts w:hint="eastAsia" w:ascii="仿宋_GB2312" w:hAnsi="宋体" w:eastAsia="仿宋_GB2312" w:cs="宋体"/>
          <w:color w:val="auto"/>
          <w:kern w:val="0"/>
          <w:sz w:val="32"/>
          <w:szCs w:val="32"/>
        </w:rPr>
        <w:t>结转2022年中央财政就业（职业培训）补助项目，</w:t>
      </w:r>
      <w:r>
        <w:rPr>
          <w:rFonts w:hint="eastAsia" w:ascii="仿宋_GB2312" w:hAnsi="宋体" w:eastAsia="仿宋_GB2312" w:cs="宋体"/>
          <w:color w:val="auto"/>
          <w:kern w:val="0"/>
          <w:sz w:val="32"/>
          <w:szCs w:val="32"/>
          <w:lang w:val="en-US" w:eastAsia="zh-CN"/>
        </w:rPr>
        <w:t>其他项目资金支付完毕、</w:t>
      </w:r>
      <w:r>
        <w:rPr>
          <w:rFonts w:hint="eastAsia" w:ascii="仿宋_GB2312" w:hAnsi="宋体" w:eastAsia="仿宋_GB2312" w:cs="宋体"/>
          <w:color w:val="auto"/>
          <w:kern w:val="0"/>
          <w:sz w:val="32"/>
          <w:szCs w:val="32"/>
        </w:rPr>
        <w:t>比上年预算减少</w:t>
      </w:r>
      <w:r>
        <w:rPr>
          <w:rFonts w:hint="eastAsia" w:ascii="仿宋_GB2312" w:hAnsi="宋体" w:eastAsia="仿宋_GB2312" w:cs="宋体"/>
          <w:color w:val="auto"/>
          <w:kern w:val="0"/>
          <w:sz w:val="32"/>
          <w:szCs w:val="32"/>
          <w:lang w:eastAsia="zh-CN"/>
        </w:rPr>
        <w:t>。</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三、关于托克逊县技工学校单位2024年支出预算情况说明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托克逊县技工学校单位2024年支出预算367.75万元，其中：</w:t>
      </w:r>
    </w:p>
    <w:p>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基本支出135.19万元，占36.76%，比上年预算减少9.47万元，下降6.55%，主要原因是本年机关事业单位职业年金缴费支出统一纳入财政代列资金，不单独安排此预算，因此基本支出预算较上年减少。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项目支出232.56万元，占63.24%，比上年预算减少517.42万元，下降68.99%，主要原因是2024年按上级下达计划培训人数减少，</w:t>
      </w:r>
      <w:r>
        <w:rPr>
          <w:rFonts w:hint="eastAsia" w:ascii="仿宋_GB2312" w:hAnsi="宋体" w:eastAsia="仿宋_GB2312" w:cs="宋体"/>
          <w:color w:val="auto"/>
          <w:kern w:val="0"/>
          <w:sz w:val="32"/>
          <w:szCs w:val="32"/>
          <w:lang w:val="en-US" w:eastAsia="zh-CN"/>
        </w:rPr>
        <w:t>及学生资助类补助资金（学生助学金）</w:t>
      </w:r>
      <w:r>
        <w:rPr>
          <w:rFonts w:hint="eastAsia" w:ascii="仿宋_GB2312" w:hAnsi="宋体" w:eastAsia="仿宋_GB2312" w:cs="宋体"/>
          <w:color w:val="auto"/>
          <w:kern w:val="0"/>
          <w:sz w:val="32"/>
          <w:szCs w:val="32"/>
        </w:rPr>
        <w:t>项目支出预算较上年下降。</w:t>
      </w:r>
    </w:p>
    <w:p>
      <w:pPr>
        <w:spacing w:line="560" w:lineRule="exact"/>
        <w:ind w:firstLine="643" w:firstLineChars="200"/>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四、关于托克逊县技工学校单位2024年财政拨款收支预算情况的总体说明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2024年财政拨款收支总预算290.99万元。</w:t>
      </w:r>
    </w:p>
    <w:p>
      <w:pPr>
        <w:spacing w:line="560" w:lineRule="exact"/>
        <w:ind w:firstLine="616" w:firstLineChars="200"/>
        <w:rPr>
          <w:rFonts w:hint="eastAsia"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收入预算包括：一般公共预算拨款290.99万元。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教育支出257.71万元，主要用于保障单位正常运行的人员经费、公用经费支出及保障单位正常运行的人员经费、公用经费支出;社会保障和就业支出15.04万元，主要用于单位人员社保缴费支出;卫生健康支出6.37万元，主要用于单位人员医疗保险缴费支出;住房保障支出11.87万元，主要用于单位人员住房公积金缴费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五、关于托克逊县技工学校单位2024年一般公共预算当年拨款情况说明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托克逊县技工学校单位2024年一般公共预算拨款合计290.99万元，其中：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基本支出135.19万元，比上年预算减少9.47万元，下降6.55%。主要原因是：本年机关事业单位职业年金缴费支出统一纳入财政代列资金，不单独安排此预算，因此基本支出预算较上年减少。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项目支出155.80万元，比上年预算增加154.16万元，增长9400.00%。主要原因是：2024年新增加2024年托克逊县学生助学金（县配套资金）、2024年学生资助补助经费中央直达资金技工免学费、2024年学生资助补助经费中央直达资金技工助学金、2024年新疆西藏等地区教育特殊补助资金，因此项目支出预算较上年增加。</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1.教育支出（类）257.71万元，占88.56%。</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2.社会保障和就业支出（类）15.04万元，占5.17%。</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3.卫生健康支出（类）6.37万元，占2.19%。</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4.住房保障支出（类）11.87万元，占4.08%。</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教育支出（类）职业教育（款）技校教育（项）：2024年预算数为257.71万元，比上年预算增加150.58万元，增长140.56%，主要原因是：2024年新增加了2024年托克逊县学生助学金（县配套资金）、2024年学生资助补助经费中央直达资金技工免学费、2024年学生资助补助经费中央直达资金技工助学金、2024年新疆西藏等地区教育特殊补助资金，因此技校教育支出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15.04万元，比上年预算增加0.56万元，增长3.87%，主要原因是：本年工资调增，基本养老保险基数上调，因此机关事业单位基本养老保险缴费支出预算比上年度增长。</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行政事业单位医疗（款）事业单位医疗（项）：2024年预算数为6.37万元，比上年预算增加0.24万元，增长3.92%，主要原因是：本年工资调增，医疗保险基数上调，因此事业单位医疗支出预算比上年度增长。</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4.住房保障支出（类）住房改革支出（款）住房公积金（项）：2024年预算数为11.87万元，比上年预算增加0.55万元，增长4.86%，主要原因是：本年工资调增，</w:t>
      </w:r>
      <w:r>
        <w:rPr>
          <w:rFonts w:hint="eastAsia" w:ascii="仿宋_GB2312" w:hAnsi="宋体" w:eastAsia="仿宋_GB2312" w:cs="宋体"/>
          <w:color w:val="auto"/>
          <w:kern w:val="0"/>
          <w:sz w:val="32"/>
          <w:szCs w:val="32"/>
          <w:lang w:val="en-US" w:eastAsia="zh-CN"/>
        </w:rPr>
        <w:t>住房公积金</w:t>
      </w:r>
      <w:r>
        <w:rPr>
          <w:rFonts w:hint="eastAsia" w:ascii="仿宋_GB2312" w:hAnsi="宋体" w:eastAsia="仿宋_GB2312" w:cs="宋体"/>
          <w:color w:val="auto"/>
          <w:kern w:val="0"/>
          <w:sz w:val="32"/>
          <w:szCs w:val="32"/>
        </w:rPr>
        <w:t>基数上调，因此单位住房公积金支出预算比上年度增长。</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社会保障和就业支出（类）行政事业单位养老支出（款）机关事业单位职业年金缴费支出（项）：2024年预算数为0.00万元，比上年预算减少7.24万元，下降100.00%，主要原因是：本年度职业年金预算由政府（财政）预算代列，未单独体现在部门预算里，导致本单位该项预算较上年减少。</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六、关于托克逊县技工学校单位2024年一般公共预算基本支出情况说明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托克逊县技工学校单位2024年一般公共预算基本支出135.19万元，其中：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人员经费133.37万元，主要包括：基本工资、津贴补贴、奖金、绩效工资、机关事业单位基本养老保险缴费、职工基本医疗保险缴费、其他社会保障缴费、住房公积金。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公用经费1.82万元，主要包括：工会经费。</w:t>
      </w:r>
    </w:p>
    <w:p>
      <w:pPr>
        <w:widowControl w:val="0"/>
        <w:spacing w:line="560" w:lineRule="exact"/>
        <w:ind w:firstLine="643" w:firstLineChars="200"/>
        <w:jc w:val="both"/>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七、关于托克逊县技工学校单位2024年一般公共预算项目支出情况说明</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（一）项目名称：2024年托克逊县学生助学金（县配套资金）</w:t>
      </w:r>
    </w:p>
    <w:p>
      <w:pPr>
        <w:widowControl w:val="0"/>
        <w:spacing w:line="560" w:lineRule="exact"/>
        <w:ind w:firstLine="640" w:firstLineChars="200"/>
        <w:jc w:val="both"/>
        <w:rPr>
          <w:rFonts w:hint="eastAsia" w:ascii="仿宋_GB2312" w:hAnsi="黑体" w:eastAsia="仿宋_GB2312"/>
          <w:color w:val="auto"/>
          <w:sz w:val="32"/>
          <w:szCs w:val="32"/>
          <w:lang w:eastAsia="zh-CN"/>
        </w:rPr>
      </w:pPr>
      <w:r>
        <w:rPr>
          <w:rFonts w:ascii="仿宋_GB2312" w:hAnsi="黑体" w:eastAsia="仿宋_GB2312"/>
          <w:color w:val="auto"/>
          <w:sz w:val="32"/>
          <w:szCs w:val="32"/>
        </w:rPr>
        <w:t>设立的政策依据：请关于印发〈新疆维吾尔自治区学生资叻资金管理办法〉的通知》（新财规〔2021〕13号），2024年预测享受助学金学生人数300人，每人160元，共计4.8万元</w:t>
      </w:r>
      <w:r>
        <w:rPr>
          <w:rFonts w:hint="eastAsia" w:ascii="仿宋_GB2312" w:hAnsi="黑体" w:eastAsia="仿宋_GB2312"/>
          <w:color w:val="auto"/>
          <w:sz w:val="32"/>
          <w:szCs w:val="32"/>
          <w:lang w:eastAsia="zh-CN"/>
        </w:rPr>
        <w:t>。</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预算安排规模：4.80万元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项目承担单位：托克逊县技工学校</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资金分配情况：2024年预测享受助学金学生人数300人，每人160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元，共计4.8</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（二）项目名称：吐市财文【2023】109号2024年学生资助补助经费中央直达资金技工免学费</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根据财政部、教育部、人力资源社会保障部、退役军人部、中央军委国防动员部联合印发《学生资助资金管理办法》(财科教〔2019〕19号)，自治区人民政府办公厅《印发关于教育领域自治区以下财政事权和支出责任划分改革实施方案的通知》(新政办发〔2020〕45号)等有关规定，为进一步规范和加强学生资助资金管理,提高资金使用效益,确保学生资助工作顺利开展,结合自治区实际，自治区财政厅、教育厅、人力资源和社会保障厅、退役军人事务厅和新疆军区参谋部制定了《新疆维吾尔自治区学生资助资金管理办法》</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预算安排规模：110.06万元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项目承担单位：托克逊县技工学校</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资金分配情况：办公用品20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万元，校园维修维护45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万元，差旅费8</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万元，实训材料费10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万元，租赁费1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万元，广告制作费20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万元，培训费1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万元，其他商品和服务支出5.06万元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（三）项目名称：吐市财文【2023】109号2024年学生资助补助经费中央直达资金技工助学金</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根据财政部、教育部、人力资源社会保障部、退役军人部、中央军委国防动员部联合印发《学生资助资金管理办法》(财科教〔2019〕19号)，自治区人民政府办公厅《印发关于教育领域自治区以下财政事权和支出责任划分改革实施方案的通知》(新政办发〔2020〕45号)等有关规定，为进一步规范和加强学生资助资金管理,提高资金使用效益,确保学生资助工作顺利开展,结合自治区实际，自治区财政厅、教育厅、人力资源和社会保障厅、退役军人事务厅和新疆军区参谋部制定了《新疆维吾尔自治区学生资助资金管理办法》</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预算安排规模：34.40万元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项目承担单位：托克逊县技工学校</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资金分配情况：保障资金34.40万元受助学生293人，保障资金按时发放到位，有效减轻家庭经济困难学生的生活负担。</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（四）项目名称：2024年新疆西藏等地区教育特殊补助资金吐市财文[2023]119号</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设立的政策依据：于印发《新疆维吾尔自治区学生资助资金管理办法》的通知新财规【2021】13号文件，技工学校南疆四地州和其他边境县、贫困县的学生218名学生.，</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预算安排规模：6.54万元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项目承担单位：托克逊县技工学校</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资金分配情况：技工学校南疆四地州和其他边境县、贫困县的学生218名学生.，教材费补助6.54万元，标准为每生每年300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元</w:t>
      </w:r>
    </w:p>
    <w:p>
      <w:pPr>
        <w:widowControl w:val="0"/>
        <w:spacing w:line="560" w:lineRule="exact"/>
        <w:ind w:firstLine="640" w:firstLineChars="200"/>
        <w:jc w:val="both"/>
        <w:rPr>
          <w:rFonts w:hint="eastAsia" w:ascii="楷体_GB2312" w:hAnsi="楷体_GB2312" w:eastAsia="楷体_GB2312" w:cs="楷体_GB2312"/>
          <w:b/>
          <w:color w:val="auto"/>
          <w:kern w:val="0"/>
          <w:sz w:val="32"/>
          <w:szCs w:val="32"/>
        </w:rPr>
      </w:pPr>
      <w:r>
        <w:rPr>
          <w:rFonts w:ascii="仿宋_GB2312" w:hAnsi="黑体" w:eastAsia="仿宋_GB2312"/>
          <w:color w:val="auto"/>
          <w:sz w:val="32"/>
          <w:szCs w:val="32"/>
        </w:rPr>
        <w:t>资金执行时间：2024年1月1日-2024年12月31日</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八、关于托克逊县技工学校单位2024年政府性基金预算拨款情况说明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托克逊县技工学校2024年没有使用政府性基金预算拨款安排的支出，政府性基金预算支出情况表为空表。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九、关于托克逊县技工学校单位2024年国有资本经营预算拨款情况说明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托克逊县技工学校2024年没有使用国有资本经营预算拨款安排的支出，国有资本经营预算支出情况表为空表。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十、关于托克逊县技工学校单位2024年财政拨款“三公”经费预算情况说明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托克逊县技工学校单位2024年财政拨款“三公”经费数为0.00万元，其中：因公出国（境）费0.00万元，公务用车购置费0.00万元，公务用车运行费0.00万元，公务接待费0.00万元。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十一、关于托克逊县技工学校单位2024年上年结转结余预算情况说明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托克逊县技工学校单位2024年上年结转结余22.76万元，包括：财政拨款22.76万元，非财政拨款0.00万元，其中：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1、2022年中央财政就业（职业培训）补助项目22.76万元，主要用于：农村劳动力重点培训群体，实施国家通用语言文字、政策法规、职业技能和适用技术等培训课程培养高技术人才。</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托克逊县技工学校单位2024年的事业单位运行经费财政拨款预算1.82万元，比上年预算减少8.13万元，下降81.71%。主要原因是</w:t>
      </w:r>
      <w:r>
        <w:rPr>
          <w:rFonts w:hint="eastAsia" w:ascii="仿宋_GB2312" w:hAnsi="宋体" w:eastAsia="仿宋_GB2312" w:cs="宋体"/>
          <w:color w:val="auto"/>
          <w:kern w:val="0"/>
          <w:sz w:val="32"/>
          <w:szCs w:val="32"/>
          <w:lang w:val="en-US" w:eastAsia="zh-CN"/>
        </w:rPr>
        <w:t>厉行节约、压减开支、我单位福利费减少</w:t>
      </w:r>
      <w:r>
        <w:rPr>
          <w:rFonts w:hint="eastAsia" w:ascii="仿宋_GB2312" w:hAnsi="宋体" w:eastAsia="仿宋_GB2312" w:cs="宋体"/>
          <w:color w:val="auto"/>
          <w:kern w:val="0"/>
          <w:sz w:val="32"/>
          <w:szCs w:val="32"/>
        </w:rPr>
        <w:t>。</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2024年，托克逊县技工学校单位政府采购预算0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万元，其中：政府采购货物预算0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仿宋_GB2312" w:eastAsia="仿宋_GB2312"/>
          <w:color w:val="auto"/>
          <w:sz w:val="32"/>
        </w:rPr>
        <w:t>2024年，托克逊县技工学校单位面向中小企业预留政府采购项目预算金额0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截至2023年底，托克逊县技工学校单位及下属各预算单位占用使用国有资产总体情况为：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1.房屋0平方米，价值0万元。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2.车辆0辆，价值0万元；其中：一般公务用车0辆，价值0万元；执法执勤用车0辆，价值0万元；其他车辆0辆，价值0万元。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4.其他资产价值216.56万元。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367.73</w:t>
      </w:r>
      <w:r>
        <w:rPr>
          <w:rFonts w:hint="eastAsia" w:ascii="仿宋_GB2312" w:hAnsi="宋体" w:eastAsia="仿宋_GB2312" w:cs="宋体"/>
          <w:color w:val="auto"/>
          <w:kern w:val="0"/>
          <w:sz w:val="32"/>
          <w:szCs w:val="32"/>
        </w:rPr>
        <w:t>万元；当年财政拨款项目</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个，涉及预算金额</w:t>
      </w:r>
      <w:r>
        <w:rPr>
          <w:rFonts w:ascii="仿宋_GB2312" w:hAnsi="宋体" w:eastAsia="仿宋_GB2312" w:cs="宋体"/>
          <w:color w:val="auto"/>
          <w:kern w:val="0"/>
          <w:sz w:val="32"/>
          <w:szCs w:val="32"/>
        </w:rPr>
        <w:t>155.8</w:t>
      </w:r>
      <w:r>
        <w:rPr>
          <w:rFonts w:hint="eastAsia" w:ascii="仿宋_GB2312" w:hAnsi="宋体" w:eastAsia="仿宋_GB2312" w:cs="宋体"/>
          <w:color w:val="auto"/>
          <w:kern w:val="0"/>
          <w:sz w:val="32"/>
          <w:szCs w:val="32"/>
        </w:rPr>
        <w:t>0万元；当年非财政拨款项目1个，涉及预算金额</w:t>
      </w:r>
      <w:r>
        <w:rPr>
          <w:rFonts w:hint="eastAsia" w:ascii="仿宋_GB2312" w:hAnsi="宋体" w:eastAsia="仿宋_GB2312" w:cs="宋体"/>
          <w:color w:val="auto"/>
          <w:kern w:val="0"/>
          <w:sz w:val="32"/>
          <w:szCs w:val="32"/>
          <w:lang w:val="en-US" w:eastAsia="zh-CN"/>
        </w:rPr>
        <w:t>54.00</w:t>
      </w:r>
      <w:r>
        <w:rPr>
          <w:rFonts w:hint="eastAsia" w:ascii="仿宋_GB2312" w:hAnsi="宋体" w:eastAsia="仿宋_GB2312" w:cs="宋体"/>
          <w:color w:val="auto"/>
          <w:kern w:val="0"/>
          <w:sz w:val="32"/>
          <w:szCs w:val="32"/>
        </w:rPr>
        <w:t>万元。具体情况见下表：</w:t>
      </w:r>
    </w:p>
    <w:p>
      <w:pPr>
        <w:widowControl/>
        <w:spacing w:line="600" w:lineRule="exact"/>
        <w:rPr>
          <w:rFonts w:hint="eastAsia"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05" w:type="dxa"/>
        <w:jc w:val="center"/>
        <w:tblLayout w:type="autofit"/>
        <w:tblCellMar>
          <w:top w:w="0" w:type="dxa"/>
          <w:left w:w="108" w:type="dxa"/>
          <w:bottom w:w="0" w:type="dxa"/>
          <w:right w:w="108" w:type="dxa"/>
        </w:tblCellMar>
      </w:tblPr>
      <w:tblGrid>
        <w:gridCol w:w="1114"/>
        <w:gridCol w:w="1413"/>
        <w:gridCol w:w="2594"/>
        <w:gridCol w:w="1366"/>
        <w:gridCol w:w="2102"/>
        <w:gridCol w:w="1316"/>
      </w:tblGrid>
      <w:tr>
        <w:tblPrEx>
          <w:tblCellMar>
            <w:top w:w="0" w:type="dxa"/>
            <w:left w:w="108" w:type="dxa"/>
            <w:bottom w:w="0" w:type="dxa"/>
            <w:right w:w="108" w:type="dxa"/>
          </w:tblCellMar>
        </w:tblPrEx>
        <w:trPr>
          <w:trHeight w:val="866" w:hRule="atLeast"/>
          <w:jc w:val="center"/>
        </w:trPr>
        <w:tc>
          <w:tcPr>
            <w:tcW w:w="9905" w:type="dxa"/>
            <w:gridSpan w:val="6"/>
            <w:tcBorders>
              <w:top w:val="nil"/>
              <w:left w:val="nil"/>
              <w:bottom w:val="nil"/>
              <w:right w:val="nil"/>
            </w:tcBorders>
            <w:shd w:val="clear" w:color="auto" w:fill="auto"/>
            <w:vAlign w:val="center"/>
          </w:tcPr>
          <w:p>
            <w:pPr>
              <w:widowControl/>
              <w:jc w:val="center"/>
              <w:rPr>
                <w:rFonts w:hint="eastAsia"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83" w:hRule="atLeast"/>
          <w:jc w:val="center"/>
        </w:trPr>
        <w:tc>
          <w:tcPr>
            <w:tcW w:w="9905" w:type="dxa"/>
            <w:gridSpan w:val="6"/>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644" w:hRule="atLeast"/>
          <w:jc w:val="center"/>
        </w:trPr>
        <w:tc>
          <w:tcPr>
            <w:tcW w:w="25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3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托克逊县技工学校</w:t>
            </w:r>
          </w:p>
        </w:tc>
      </w:tr>
      <w:tr>
        <w:tblPrEx>
          <w:tblCellMar>
            <w:top w:w="0" w:type="dxa"/>
            <w:left w:w="108" w:type="dxa"/>
            <w:bottom w:w="0" w:type="dxa"/>
            <w:right w:w="108" w:type="dxa"/>
          </w:tblCellMar>
        </w:tblPrEx>
        <w:trPr>
          <w:trHeight w:val="644" w:hRule="atLeast"/>
          <w:jc w:val="center"/>
        </w:trPr>
        <w:tc>
          <w:tcPr>
            <w:tcW w:w="252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吴东风</w:t>
            </w:r>
          </w:p>
        </w:tc>
        <w:tc>
          <w:tcPr>
            <w:tcW w:w="2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13579546958</w:t>
            </w:r>
          </w:p>
        </w:tc>
      </w:tr>
      <w:tr>
        <w:tblPrEx>
          <w:tblCellMar>
            <w:top w:w="0" w:type="dxa"/>
            <w:left w:w="108" w:type="dxa"/>
            <w:bottom w:w="0" w:type="dxa"/>
            <w:right w:w="108" w:type="dxa"/>
          </w:tblCellMar>
        </w:tblPrEx>
        <w:trPr>
          <w:trHeight w:val="3163" w:hRule="atLeast"/>
          <w:jc w:val="center"/>
        </w:trPr>
        <w:tc>
          <w:tcPr>
            <w:tcW w:w="25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3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1.开展党内集中学习教育，提出和坚持新时代党的组织路线，突出政治标准选贤任能，加强政治巡视，推动全部党员坚定理想信念、严密组织体系、严明纪律规矩。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2.采取多种形式组织教师参加爱国主义活动，引导广大学生树立远大志向，勇担时代大任，注重意志品格的锤炼，努力成为德智体美劳全面发展的社会主义建设者和接班人。</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3.开展平安校园建设将安全隐患消除在萌芽状态，实现人人都起到安全员的作用，切实加强学生安全意识教育，自护能力培养，确保师生安全、校园和谐。</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4.开展特色餐饮、特色旅游培训、烹饪、面点以及各类企业所需的汽车维修、挖掘机驾驶技术、装载机驾驶技术等人员，提升农村劳动力综合素质，提高技术水平，促进乡村振兴建设。</w:t>
            </w:r>
            <w:r>
              <w:rPr>
                <w:rFonts w:hint="eastAsia" w:ascii="宋体" w:hAnsi="宋体" w:cs="宋体"/>
                <w:color w:val="auto"/>
                <w:kern w:val="0"/>
                <w:sz w:val="18"/>
                <w:szCs w:val="18"/>
              </w:rPr>
              <w:br w:type="textWrapping"/>
            </w:r>
            <w:r>
              <w:rPr>
                <w:rFonts w:hint="eastAsia" w:ascii="宋体" w:hAnsi="宋体" w:cs="宋体"/>
                <w:color w:val="auto"/>
                <w:kern w:val="0"/>
                <w:sz w:val="18"/>
                <w:szCs w:val="18"/>
              </w:rPr>
              <w:t>5.定期组织校企文化交流，推荐行业专家、技术能手等合适使学生树立符合现实的职业定位，激发学生学习兴趣，培养学生良好的职业道德和职业荣誉感。</w:t>
            </w:r>
            <w:r>
              <w:rPr>
                <w:rFonts w:hint="eastAsia" w:ascii="宋体" w:hAnsi="宋体" w:cs="宋体"/>
                <w:color w:val="auto"/>
                <w:kern w:val="0"/>
                <w:sz w:val="18"/>
                <w:szCs w:val="18"/>
              </w:rPr>
              <w:br w:type="textWrapping"/>
            </w:r>
            <w:r>
              <w:rPr>
                <w:rFonts w:hint="eastAsia" w:ascii="宋体" w:hAnsi="宋体" w:cs="宋体"/>
                <w:color w:val="auto"/>
                <w:kern w:val="0"/>
                <w:sz w:val="18"/>
                <w:szCs w:val="18"/>
              </w:rPr>
              <w:t>6.加强对职工的职业道德教育，提高服务意识和工作效率。通过各种途径提高职工的思想觉悟，培养爱岗敬业精神。</w:t>
            </w:r>
          </w:p>
        </w:tc>
      </w:tr>
      <w:tr>
        <w:tblPrEx>
          <w:tblCellMar>
            <w:top w:w="0" w:type="dxa"/>
            <w:left w:w="108" w:type="dxa"/>
            <w:bottom w:w="0" w:type="dxa"/>
            <w:right w:w="108" w:type="dxa"/>
          </w:tblCellMar>
        </w:tblPrEx>
        <w:trPr>
          <w:trHeight w:val="604" w:hRule="atLeast"/>
          <w:jc w:val="center"/>
        </w:trPr>
        <w:tc>
          <w:tcPr>
            <w:tcW w:w="2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资金来源</w:t>
            </w:r>
          </w:p>
        </w:tc>
        <w:tc>
          <w:tcPr>
            <w:tcW w:w="34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43" w:hRule="atLeast"/>
          <w:jc w:val="center"/>
        </w:trPr>
        <w:tc>
          <w:tcPr>
            <w:tcW w:w="252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59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财政资金（万元）</w:t>
            </w:r>
          </w:p>
        </w:tc>
        <w:tc>
          <w:tcPr>
            <w:tcW w:w="13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上级安排</w:t>
            </w:r>
          </w:p>
        </w:tc>
        <w:tc>
          <w:tcPr>
            <w:tcW w:w="341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173.75</w:t>
            </w:r>
          </w:p>
        </w:tc>
      </w:tr>
      <w:tr>
        <w:tblPrEx>
          <w:tblCellMar>
            <w:top w:w="0" w:type="dxa"/>
            <w:left w:w="108" w:type="dxa"/>
            <w:bottom w:w="0" w:type="dxa"/>
            <w:right w:w="108" w:type="dxa"/>
          </w:tblCellMar>
        </w:tblPrEx>
        <w:trPr>
          <w:trHeight w:val="483" w:hRule="atLeast"/>
          <w:jc w:val="center"/>
        </w:trPr>
        <w:tc>
          <w:tcPr>
            <w:tcW w:w="252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594"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本级安排</w:t>
            </w:r>
          </w:p>
        </w:tc>
        <w:tc>
          <w:tcPr>
            <w:tcW w:w="341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139.98</w:t>
            </w:r>
          </w:p>
        </w:tc>
      </w:tr>
      <w:tr>
        <w:tblPrEx>
          <w:tblCellMar>
            <w:top w:w="0" w:type="dxa"/>
            <w:left w:w="108" w:type="dxa"/>
            <w:bottom w:w="0" w:type="dxa"/>
            <w:right w:w="108" w:type="dxa"/>
          </w:tblCellMar>
        </w:tblPrEx>
        <w:trPr>
          <w:trHeight w:val="483" w:hRule="atLeast"/>
          <w:jc w:val="center"/>
        </w:trPr>
        <w:tc>
          <w:tcPr>
            <w:tcW w:w="252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其他资金（万元）</w:t>
            </w:r>
          </w:p>
        </w:tc>
        <w:tc>
          <w:tcPr>
            <w:tcW w:w="13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341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54.00</w:t>
            </w:r>
          </w:p>
        </w:tc>
      </w:tr>
      <w:tr>
        <w:tblPrEx>
          <w:tblCellMar>
            <w:top w:w="0" w:type="dxa"/>
            <w:left w:w="108" w:type="dxa"/>
            <w:bottom w:w="0" w:type="dxa"/>
            <w:right w:w="108" w:type="dxa"/>
          </w:tblCellMar>
        </w:tblPrEx>
        <w:trPr>
          <w:trHeight w:val="544" w:hRule="atLeast"/>
          <w:jc w:val="center"/>
        </w:trPr>
        <w:tc>
          <w:tcPr>
            <w:tcW w:w="111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83" w:hRule="atLeast"/>
          <w:jc w:val="center"/>
        </w:trPr>
        <w:tc>
          <w:tcPr>
            <w:tcW w:w="111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履职效能</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计划培训人数</w:t>
            </w:r>
          </w:p>
        </w:tc>
        <w:tc>
          <w:tcPr>
            <w:tcW w:w="13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≥2000人</w:t>
            </w:r>
          </w:p>
        </w:tc>
        <w:tc>
          <w:tcPr>
            <w:tcW w:w="2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83" w:hRule="atLeast"/>
          <w:jc w:val="center"/>
        </w:trPr>
        <w:tc>
          <w:tcPr>
            <w:tcW w:w="1114"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94"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开展德育宣传月主题教育活动次数</w:t>
            </w:r>
          </w:p>
        </w:tc>
        <w:tc>
          <w:tcPr>
            <w:tcW w:w="136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≥16次</w:t>
            </w:r>
          </w:p>
        </w:tc>
        <w:tc>
          <w:tcPr>
            <w:tcW w:w="2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83" w:hRule="atLeast"/>
          <w:jc w:val="center"/>
        </w:trPr>
        <w:tc>
          <w:tcPr>
            <w:tcW w:w="1114"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94"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发展团员人数</w:t>
            </w:r>
          </w:p>
        </w:tc>
        <w:tc>
          <w:tcPr>
            <w:tcW w:w="136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≥33人</w:t>
            </w:r>
          </w:p>
        </w:tc>
        <w:tc>
          <w:tcPr>
            <w:tcW w:w="2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83" w:hRule="atLeast"/>
          <w:jc w:val="center"/>
        </w:trPr>
        <w:tc>
          <w:tcPr>
            <w:tcW w:w="1114"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学校安全隐患大排查次数</w:t>
            </w:r>
          </w:p>
        </w:tc>
        <w:tc>
          <w:tcPr>
            <w:tcW w:w="136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≥12次</w:t>
            </w:r>
          </w:p>
        </w:tc>
        <w:tc>
          <w:tcPr>
            <w:tcW w:w="2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83" w:hRule="atLeast"/>
          <w:jc w:val="center"/>
        </w:trPr>
        <w:tc>
          <w:tcPr>
            <w:tcW w:w="1114"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提供免学费教育人数</w:t>
            </w:r>
          </w:p>
        </w:tc>
        <w:tc>
          <w:tcPr>
            <w:tcW w:w="13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≥848人</w:t>
            </w:r>
          </w:p>
        </w:tc>
        <w:tc>
          <w:tcPr>
            <w:tcW w:w="2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544" w:hRule="atLeast"/>
          <w:jc w:val="center"/>
        </w:trPr>
        <w:tc>
          <w:tcPr>
            <w:tcW w:w="1114"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国家通用语言文字普及率</w:t>
            </w:r>
          </w:p>
        </w:tc>
        <w:tc>
          <w:tcPr>
            <w:tcW w:w="13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2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bl>
    <w:p>
      <w:pPr>
        <w:jc w:val="center"/>
        <w:rPr>
          <w:rFonts w:hint="eastAsia" w:ascii="宋体" w:hAnsi="宋体"/>
          <w:color w:val="auto"/>
          <w:sz w:val="18"/>
          <w:szCs w:val="18"/>
        </w:rPr>
      </w:pPr>
    </w:p>
    <w:p>
      <w:pPr>
        <w:widowControl/>
        <w:jc w:val="both"/>
        <w:rPr>
          <w:color w:val="auto"/>
        </w:rPr>
      </w:pPr>
      <w:r>
        <w:rPr>
          <w:rFonts w:ascii="宋体" w:hAnsi="宋体"/>
          <w:color w:val="auto"/>
          <w:sz w:val="18"/>
          <w:szCs w:val="18"/>
        </w:rPr>
        <w:br w:type="page"/>
      </w:r>
    </w:p>
    <w:tbl>
      <w:tblPr>
        <w:tblStyle w:val="4"/>
        <w:tblW w:w="9760" w:type="dxa"/>
        <w:jc w:val="center"/>
        <w:tblLayout w:type="autofit"/>
        <w:tblCellMar>
          <w:top w:w="0" w:type="dxa"/>
          <w:left w:w="108" w:type="dxa"/>
          <w:bottom w:w="0" w:type="dxa"/>
          <w:right w:w="108" w:type="dxa"/>
        </w:tblCellMar>
      </w:tblPr>
      <w:tblGrid>
        <w:gridCol w:w="897"/>
        <w:gridCol w:w="1044"/>
        <w:gridCol w:w="2115"/>
        <w:gridCol w:w="874"/>
        <w:gridCol w:w="1134"/>
        <w:gridCol w:w="867"/>
        <w:gridCol w:w="853"/>
        <w:gridCol w:w="1139"/>
        <w:gridCol w:w="837"/>
      </w:tblGrid>
      <w:tr>
        <w:trPr>
          <w:trHeight w:val="676" w:hRule="atLeast"/>
          <w:jc w:val="center"/>
        </w:trPr>
        <w:tc>
          <w:tcPr>
            <w:tcW w:w="976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28"/>
                <w:szCs w:val="28"/>
              </w:rPr>
            </w:pPr>
            <w:r>
              <w:rPr>
                <w:rFonts w:hint="eastAsia" w:ascii="宋体" w:hAnsi="宋体" w:cs="宋体"/>
                <w:b/>
                <w:bCs/>
                <w:color w:val="auto"/>
                <w:kern w:val="0"/>
                <w:sz w:val="28"/>
                <w:szCs w:val="28"/>
                <w:lang w:bidi="ar"/>
              </w:rPr>
              <w:t>项目支出绩效目标表</w:t>
            </w:r>
          </w:p>
        </w:tc>
      </w:tr>
      <w:tr>
        <w:tblPrEx>
          <w:tblCellMar>
            <w:top w:w="0" w:type="dxa"/>
            <w:left w:w="108" w:type="dxa"/>
            <w:bottom w:w="0" w:type="dxa"/>
            <w:right w:w="108" w:type="dxa"/>
          </w:tblCellMar>
        </w:tblPrEx>
        <w:trPr>
          <w:trHeight w:val="455" w:hRule="atLeast"/>
          <w:jc w:val="center"/>
        </w:trPr>
        <w:tc>
          <w:tcPr>
            <w:tcW w:w="976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2"/>
                <w:szCs w:val="22"/>
              </w:rPr>
            </w:pPr>
            <w:r>
              <w:rPr>
                <w:rFonts w:hint="eastAsia" w:ascii="宋体" w:hAnsi="宋体" w:cs="宋体"/>
                <w:color w:val="auto"/>
                <w:kern w:val="0"/>
                <w:sz w:val="22"/>
                <w:szCs w:val="22"/>
                <w:lang w:bidi="ar"/>
              </w:rPr>
              <w:t>(2024年)</w:t>
            </w:r>
          </w:p>
        </w:tc>
      </w:tr>
      <w:tr>
        <w:tblPrEx>
          <w:tblCellMar>
            <w:top w:w="0" w:type="dxa"/>
            <w:left w:w="108" w:type="dxa"/>
            <w:bottom w:w="0" w:type="dxa"/>
            <w:right w:w="108" w:type="dxa"/>
          </w:tblCellMar>
        </w:tblPrEx>
        <w:trPr>
          <w:trHeight w:val="486"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78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托克逊县技工学校</w:t>
            </w:r>
          </w:p>
        </w:tc>
      </w:tr>
      <w:tr>
        <w:tblPrEx>
          <w:tblCellMar>
            <w:top w:w="0" w:type="dxa"/>
            <w:left w:w="108" w:type="dxa"/>
            <w:bottom w:w="0" w:type="dxa"/>
            <w:right w:w="108" w:type="dxa"/>
          </w:tblCellMar>
        </w:tblPrEx>
        <w:trPr>
          <w:trHeight w:val="486"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41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2024年托克逊县学生助学金（县配套资金）</w:t>
            </w:r>
          </w:p>
        </w:tc>
        <w:tc>
          <w:tcPr>
            <w:tcW w:w="1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吴东风</w:t>
            </w:r>
          </w:p>
        </w:tc>
      </w:tr>
      <w:tr>
        <w:tblPrEx>
          <w:tblCellMar>
            <w:top w:w="0" w:type="dxa"/>
            <w:left w:w="108" w:type="dxa"/>
            <w:bottom w:w="0" w:type="dxa"/>
            <w:right w:w="108" w:type="dxa"/>
          </w:tblCellMar>
        </w:tblPrEx>
        <w:trPr>
          <w:trHeight w:val="726"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年度预算总额：</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4.80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4.80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0.00</w:t>
            </w:r>
          </w:p>
        </w:tc>
      </w:tr>
      <w:tr>
        <w:trPr>
          <w:trHeight w:val="798"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7819"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每学期向在校学生发放1次学生助学金，帮助不少于48名经济困难家庭的学生完成学业，提高他们的受教育机会，提升学生技能修养，提高学生就业率。</w:t>
            </w:r>
          </w:p>
        </w:tc>
      </w:tr>
      <w:tr>
        <w:tblPrEx>
          <w:tblCellMar>
            <w:top w:w="0" w:type="dxa"/>
            <w:left w:w="108" w:type="dxa"/>
            <w:bottom w:w="0" w:type="dxa"/>
            <w:right w:w="108" w:type="dxa"/>
          </w:tblCellMar>
        </w:tblPrEx>
        <w:trPr>
          <w:trHeight w:val="687" w:hRule="atLeast"/>
          <w:jc w:val="center"/>
        </w:trPr>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687" w:hRule="atLeast"/>
          <w:jc w:val="center"/>
        </w:trPr>
        <w:tc>
          <w:tcPr>
            <w:tcW w:w="897"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044" w:type="dxa"/>
            <w:vMerge w:val="restart"/>
            <w:tcBorders>
              <w:top w:val="nil"/>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助学金发放人次</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≥48人</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1025" w:hRule="atLeast"/>
          <w:jc w:val="center"/>
        </w:trPr>
        <w:tc>
          <w:tcPr>
            <w:tcW w:w="89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044"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中等职业学校国家助学金受助人数占应受助学生数的比例</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rPr>
          <w:trHeight w:val="687" w:hRule="atLeast"/>
          <w:jc w:val="center"/>
        </w:trPr>
        <w:tc>
          <w:tcPr>
            <w:tcW w:w="89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04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助学金发放程序合规率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687" w:hRule="atLeast"/>
          <w:jc w:val="center"/>
        </w:trPr>
        <w:tc>
          <w:tcPr>
            <w:tcW w:w="89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助学金按规定及时发放率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687" w:hRule="atLeast"/>
          <w:jc w:val="center"/>
        </w:trPr>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04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助学金生均补助标准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=1000元/学期</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预算支出标准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687" w:hRule="atLeast"/>
          <w:jc w:val="center"/>
        </w:trPr>
        <w:tc>
          <w:tcPr>
            <w:tcW w:w="897" w:type="dxa"/>
            <w:tcBorders>
              <w:top w:val="nil"/>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效益指标</w:t>
            </w:r>
          </w:p>
        </w:tc>
        <w:tc>
          <w:tcPr>
            <w:tcW w:w="104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中等职业学生因贫辍学率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有效减少</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97" w:hRule="atLeast"/>
          <w:jc w:val="center"/>
        </w:trPr>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受益学生满意度</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满意度赋分</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bl>
    <w:p>
      <w:pPr>
        <w:rPr>
          <w:color w:val="auto"/>
        </w:rPr>
      </w:pPr>
    </w:p>
    <w:p>
      <w:pPr>
        <w:widowControl/>
        <w:spacing w:line="560" w:lineRule="exact"/>
        <w:ind w:firstLine="630" w:firstLineChars="196"/>
        <w:jc w:val="left"/>
        <w:rPr>
          <w:rFonts w:hint="eastAsia"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tbl>
      <w:tblPr>
        <w:tblStyle w:val="4"/>
        <w:tblW w:w="10886" w:type="dxa"/>
        <w:jc w:val="center"/>
        <w:tblLayout w:type="fixed"/>
        <w:tblCellMar>
          <w:top w:w="0" w:type="dxa"/>
          <w:left w:w="108" w:type="dxa"/>
          <w:bottom w:w="0" w:type="dxa"/>
          <w:right w:w="108" w:type="dxa"/>
        </w:tblCellMar>
      </w:tblPr>
      <w:tblGrid>
        <w:gridCol w:w="1075"/>
        <w:gridCol w:w="1209"/>
        <w:gridCol w:w="1924"/>
        <w:gridCol w:w="983"/>
        <w:gridCol w:w="1368"/>
        <w:gridCol w:w="879"/>
        <w:gridCol w:w="675"/>
        <w:gridCol w:w="236"/>
        <w:gridCol w:w="992"/>
        <w:gridCol w:w="236"/>
        <w:gridCol w:w="1309"/>
      </w:tblGrid>
      <w:tr>
        <w:tblPrEx>
          <w:tblCellMar>
            <w:top w:w="0" w:type="dxa"/>
            <w:left w:w="108" w:type="dxa"/>
            <w:bottom w:w="0" w:type="dxa"/>
            <w:right w:w="108" w:type="dxa"/>
          </w:tblCellMar>
        </w:tblPrEx>
        <w:trPr>
          <w:trHeight w:val="405" w:hRule="atLeast"/>
          <w:jc w:val="center"/>
        </w:trPr>
        <w:tc>
          <w:tcPr>
            <w:tcW w:w="10886" w:type="dxa"/>
            <w:gridSpan w:val="11"/>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32"/>
                <w:szCs w:val="32"/>
              </w:rPr>
            </w:pPr>
            <w:r>
              <w:rPr>
                <w:rFonts w:hint="eastAsia" w:ascii="宋体" w:hAnsi="宋体" w:cs="宋体"/>
                <w:b/>
                <w:bCs/>
                <w:color w:val="auto"/>
                <w:kern w:val="0"/>
                <w:sz w:val="32"/>
                <w:szCs w:val="32"/>
                <w:lang w:bidi="ar"/>
              </w:rPr>
              <w:t>项目支出绩效目标表</w:t>
            </w:r>
          </w:p>
        </w:tc>
      </w:tr>
      <w:tr>
        <w:tblPrEx>
          <w:tblCellMar>
            <w:top w:w="0" w:type="dxa"/>
            <w:left w:w="108" w:type="dxa"/>
            <w:bottom w:w="0" w:type="dxa"/>
            <w:right w:w="108" w:type="dxa"/>
          </w:tblCellMar>
        </w:tblPrEx>
        <w:trPr>
          <w:trHeight w:val="285" w:hRule="atLeast"/>
          <w:jc w:val="center"/>
        </w:trPr>
        <w:tc>
          <w:tcPr>
            <w:tcW w:w="10886" w:type="dxa"/>
            <w:gridSpan w:val="11"/>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(2024年)</w:t>
            </w:r>
          </w:p>
        </w:tc>
      </w:tr>
      <w:tr>
        <w:tblPrEx>
          <w:tblCellMar>
            <w:top w:w="0" w:type="dxa"/>
            <w:left w:w="108" w:type="dxa"/>
            <w:bottom w:w="0" w:type="dxa"/>
            <w:right w:w="108" w:type="dxa"/>
          </w:tblCellMar>
        </w:tblPrEx>
        <w:trPr>
          <w:trHeight w:val="300" w:hRule="atLeast"/>
          <w:jc w:val="center"/>
        </w:trPr>
        <w:tc>
          <w:tcPr>
            <w:tcW w:w="2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860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托克逊县技工学校</w:t>
            </w:r>
          </w:p>
        </w:tc>
      </w:tr>
      <w:tr>
        <w:tblPrEx>
          <w:tblCellMar>
            <w:top w:w="0" w:type="dxa"/>
            <w:left w:w="108" w:type="dxa"/>
            <w:bottom w:w="0" w:type="dxa"/>
            <w:right w:w="108" w:type="dxa"/>
          </w:tblCellMar>
        </w:tblPrEx>
        <w:trPr>
          <w:trHeight w:val="300" w:hRule="atLeast"/>
          <w:jc w:val="center"/>
        </w:trPr>
        <w:tc>
          <w:tcPr>
            <w:tcW w:w="2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42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2024年技工学校综合事务支出</w:t>
            </w:r>
          </w:p>
        </w:tc>
        <w:tc>
          <w:tcPr>
            <w:tcW w:w="27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 w:val="18"/>
                <w:szCs w:val="18"/>
              </w:rPr>
            </w:pPr>
            <w:r>
              <w:rPr>
                <w:rFonts w:hint="eastAsia" w:ascii="宋体" w:hAnsi="宋体" w:cs="宋体"/>
                <w:color w:val="auto"/>
                <w:sz w:val="18"/>
                <w:szCs w:val="18"/>
              </w:rPr>
              <w:t>吴东风</w:t>
            </w:r>
          </w:p>
        </w:tc>
      </w:tr>
      <w:tr>
        <w:tblPrEx>
          <w:tblCellMar>
            <w:top w:w="0" w:type="dxa"/>
            <w:left w:w="108" w:type="dxa"/>
            <w:bottom w:w="0" w:type="dxa"/>
            <w:right w:w="108" w:type="dxa"/>
          </w:tblCellMar>
        </w:tblPrEx>
        <w:trPr>
          <w:trHeight w:val="300" w:hRule="atLeast"/>
          <w:jc w:val="center"/>
        </w:trPr>
        <w:tc>
          <w:tcPr>
            <w:tcW w:w="2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年度预算总额：</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54.00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0.00</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54.00</w:t>
            </w:r>
          </w:p>
        </w:tc>
      </w:tr>
      <w:tr>
        <w:tblPrEx>
          <w:tblCellMar>
            <w:top w:w="0" w:type="dxa"/>
            <w:left w:w="108" w:type="dxa"/>
            <w:bottom w:w="0" w:type="dxa"/>
            <w:right w:w="108" w:type="dxa"/>
          </w:tblCellMar>
        </w:tblPrEx>
        <w:trPr>
          <w:trHeight w:val="1500" w:hRule="atLeast"/>
          <w:jc w:val="center"/>
        </w:trPr>
        <w:tc>
          <w:tcPr>
            <w:tcW w:w="2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8602" w:type="dxa"/>
            <w:gridSpan w:val="9"/>
            <w:tcBorders>
              <w:top w:val="single" w:color="000000" w:sz="4" w:space="0"/>
              <w:left w:val="single" w:color="000000" w:sz="4" w:space="0"/>
              <w:bottom w:val="single" w:color="000000" w:sz="4" w:space="0"/>
              <w:right w:val="single" w:color="000000" w:sz="4" w:space="0"/>
            </w:tcBorders>
            <w:shd w:val="clear" w:color="auto" w:fill="auto"/>
          </w:tcPr>
          <w:p>
            <w:pPr>
              <w:widowControl/>
              <w:textAlignment w:val="top"/>
              <w:rPr>
                <w:rFonts w:hint="eastAsia" w:ascii="宋体" w:hAnsi="宋体" w:cs="宋体"/>
                <w:color w:val="auto"/>
                <w:sz w:val="18"/>
                <w:szCs w:val="18"/>
              </w:rPr>
            </w:pPr>
            <w:r>
              <w:rPr>
                <w:rFonts w:hint="eastAsia" w:ascii="宋体" w:hAnsi="宋体" w:cs="宋体"/>
                <w:color w:val="auto"/>
                <w:kern w:val="0"/>
                <w:sz w:val="18"/>
                <w:szCs w:val="18"/>
                <w:lang w:bidi="ar"/>
              </w:rPr>
              <w:t>目标1：为不少于2000名从事一产二产三产的重点培训群体免费提供国家通用语言文字、政策法规培训，开展18期培训课程，提供10种职业技能和适用技术培训，减轻学员家庭负担，促进技能的提升。</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目标2：通过专业教师的培训，使学员得到专业技能证书，提高学员就业率。</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目标3：为单位5名后勤人员发放劳务费，保障单位后勤工作有序开展，为学员提供后勤保障；为不少于30名培训班临聘教师发放授课费，提高教师授课积极性，为参训农牧民提供专业的技术技能培训。</w:t>
            </w:r>
          </w:p>
        </w:tc>
      </w:tr>
      <w:tr>
        <w:tblPrEx>
          <w:tblCellMar>
            <w:top w:w="0" w:type="dxa"/>
            <w:left w:w="108" w:type="dxa"/>
            <w:bottom w:w="0" w:type="dxa"/>
            <w:right w:w="108" w:type="dxa"/>
          </w:tblCellMar>
        </w:tblPrEx>
        <w:trPr>
          <w:trHeight w:val="480"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400" w:hRule="atLeast"/>
          <w:jc w:val="center"/>
        </w:trPr>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计划培训人数</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&gt;=2000人</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00" w:hRule="atLeast"/>
          <w:jc w:val="center"/>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培训专业数量</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&lt;=10种</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00" w:hRule="atLeast"/>
          <w:jc w:val="center"/>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开展培训班次</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&lt;=18班次</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00" w:hRule="atLeast"/>
          <w:jc w:val="center"/>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临聘人员劳务费发放人次</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&lt;=35人次</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00" w:hRule="atLeast"/>
          <w:jc w:val="center"/>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技能实训占理论实训比例</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&gt;=1.50倍</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00" w:hRule="atLeast"/>
          <w:jc w:val="center"/>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结业考核合格率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&gt;=90%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00" w:hRule="atLeast"/>
          <w:jc w:val="center"/>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培训按时完成率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&gt;=90%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00" w:hRule="atLeast"/>
          <w:jc w:val="center"/>
        </w:trPr>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补充办公经费</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&lt;=29.25万元</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400" w:hRule="atLeast"/>
          <w:jc w:val="center"/>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临聘人员劳务费</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&lt;=15.50万元</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400" w:hRule="atLeast"/>
          <w:jc w:val="center"/>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培训费支出</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&lt;=9.25万元</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400" w:hRule="atLeast"/>
          <w:jc w:val="center"/>
        </w:trPr>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效益指标</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有效提高就业率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有效提高</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00" w:hRule="atLeast"/>
          <w:jc w:val="center"/>
        </w:trPr>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提高农牧民综合技能</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效果显著</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00"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培训学员满意度</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&gt;=90%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满意度赋分</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bl>
    <w:p>
      <w:pPr>
        <w:widowControl/>
        <w:spacing w:line="560" w:lineRule="exact"/>
        <w:ind w:firstLine="630" w:firstLineChars="196"/>
        <w:jc w:val="left"/>
        <w:rPr>
          <w:rFonts w:hint="eastAsia"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hint="eastAsia"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1.2024年我单位未安排面向中小企业预留政府采购项目预算；未安排小微企业预留政府采购项目预算。</w:t>
      </w:r>
    </w:p>
    <w:p>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2.本次未公开项目支出绩效目标表共有</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个，其中：上级转移支付项目</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个，涉及预算金额151.00万元、绩效目标表完全不予公开。</w:t>
      </w:r>
    </w:p>
    <w:p>
      <w:pPr>
        <w:widowControl/>
        <w:spacing w:line="520" w:lineRule="exact"/>
        <w:ind w:firstLine="640" w:firstLineChars="200"/>
        <w:jc w:val="left"/>
        <w:rPr>
          <w:rFonts w:hint="eastAsia" w:ascii="仿宋_GB2312" w:hAnsi="宋体" w:eastAsia="仿宋_GB2312" w:cs="宋体"/>
          <w:color w:val="auto"/>
          <w:kern w:val="0"/>
          <w:sz w:val="32"/>
          <w:szCs w:val="32"/>
        </w:rPr>
      </w:pP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righ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托克逊县技工学校</w:t>
      </w:r>
    </w:p>
    <w:p>
      <w:pPr>
        <w:widowControl/>
        <w:spacing w:line="520" w:lineRule="exact"/>
        <w:jc w:val="right"/>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0F6470"/>
    <w:rsid w:val="00102CCB"/>
    <w:rsid w:val="0011518D"/>
    <w:rsid w:val="001408BD"/>
    <w:rsid w:val="0017328F"/>
    <w:rsid w:val="00215317"/>
    <w:rsid w:val="00231D34"/>
    <w:rsid w:val="002544C4"/>
    <w:rsid w:val="00445B1B"/>
    <w:rsid w:val="004E4C97"/>
    <w:rsid w:val="0066190C"/>
    <w:rsid w:val="006B356A"/>
    <w:rsid w:val="00742766"/>
    <w:rsid w:val="00773769"/>
    <w:rsid w:val="00796643"/>
    <w:rsid w:val="009009FB"/>
    <w:rsid w:val="00A836C6"/>
    <w:rsid w:val="00A840F6"/>
    <w:rsid w:val="00AD2D45"/>
    <w:rsid w:val="00B32ACF"/>
    <w:rsid w:val="00B53845"/>
    <w:rsid w:val="00D10B4A"/>
    <w:rsid w:val="00F356B1"/>
    <w:rsid w:val="00F75B92"/>
    <w:rsid w:val="13151A72"/>
    <w:rsid w:val="14DB3D59"/>
    <w:rsid w:val="1D373617"/>
    <w:rsid w:val="33117DB5"/>
    <w:rsid w:val="3DDC7F8B"/>
    <w:rsid w:val="461940F5"/>
    <w:rsid w:val="698E1FE0"/>
    <w:rsid w:val="7130216F"/>
    <w:rsid w:val="71C20117"/>
    <w:rsid w:val="777C3030"/>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1600</Words>
  <Characters>1784</Characters>
  <Lines>101</Lines>
  <Paragraphs>28</Paragraphs>
  <TotalTime>1</TotalTime>
  <ScaleCrop>false</ScaleCrop>
  <LinksUpToDate>false</LinksUpToDate>
  <CharactersWithSpaces>1844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2025-08-12T05:05:23Z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F9C8D3542FED4DE7AAB66589D2EF258D_13</vt:lpwstr>
  </property>
  <property fmtid="{D5CDD505-2E9C-101B-9397-08002B2CF9AE}" pid="4" name="KSOTemplateDocerSaveRecord">
    <vt:lpwstr>eyJoZGlkIjoiMTcwMGY5N2M4YzI3ODdkZTMzOGFhZTcwMTk4MTdlMjAiLCJ1c2VySWQiOiI0OTQ1NzM3OTEifQ==</vt:lpwstr>
  </property>
</Properties>
</file>